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B4" w:rsidRPr="0089424D" w:rsidRDefault="0089424D">
      <w:pPr>
        <w:rPr>
          <w:rFonts w:ascii="Comic Sans MS" w:hAnsi="Comic Sans MS" w:cs="Courier New"/>
          <w:b/>
          <w:sz w:val="40"/>
          <w:szCs w:val="40"/>
          <w:u w:val="single"/>
        </w:rPr>
      </w:pPr>
      <w:r w:rsidRPr="0089424D">
        <w:rPr>
          <w:rFonts w:ascii="Comic Sans MS" w:hAnsi="Comic Sans MS" w:cs="Courier New"/>
          <w:b/>
          <w:sz w:val="40"/>
          <w:szCs w:val="40"/>
          <w:u w:val="single"/>
        </w:rPr>
        <w:t>The Four Rules of the Semicolon</w:t>
      </w:r>
      <w:r w:rsidR="0010002F" w:rsidRPr="0089424D">
        <w:rPr>
          <w:rFonts w:ascii="Comic Sans MS" w:hAnsi="Comic Sans MS" w:cs="Courier New"/>
          <w:b/>
          <w:sz w:val="40"/>
          <w:szCs w:val="40"/>
          <w:u w:val="single"/>
        </w:rPr>
        <w:t xml:space="preserve"> </w:t>
      </w:r>
    </w:p>
    <w:p w:rsidR="00812CDF" w:rsidRDefault="00812CDF" w:rsidP="00812CDF">
      <w:pPr>
        <w:jc w:val="left"/>
        <w:rPr>
          <w:rFonts w:ascii="Comic Sans MS" w:hAnsi="Comic Sans MS" w:cs="Courier New"/>
          <w:b/>
          <w:sz w:val="52"/>
          <w:szCs w:val="52"/>
        </w:rPr>
      </w:pPr>
    </w:p>
    <w:p w:rsidR="0089424D" w:rsidRDefault="0089424D" w:rsidP="00812CDF">
      <w:pPr>
        <w:jc w:val="left"/>
        <w:rPr>
          <w:rFonts w:ascii="Comic Sans MS" w:hAnsi="Comic Sans MS" w:cs="Courier New"/>
          <w:b/>
          <w:sz w:val="52"/>
          <w:szCs w:val="52"/>
        </w:rPr>
      </w:pPr>
      <w:bookmarkStart w:id="0" w:name="_GoBack"/>
      <w:bookmarkEnd w:id="0"/>
    </w:p>
    <w:p w:rsidR="00E3121C" w:rsidRPr="0089424D" w:rsidRDefault="00E3121C" w:rsidP="00812CDF">
      <w:pPr>
        <w:pStyle w:val="ListParagraph"/>
        <w:numPr>
          <w:ilvl w:val="0"/>
          <w:numId w:val="3"/>
        </w:numPr>
        <w:jc w:val="left"/>
        <w:rPr>
          <w:rFonts w:ascii="Comic Sans MS" w:hAnsi="Comic Sans MS" w:cs="Courier New"/>
          <w:b/>
          <w:sz w:val="28"/>
          <w:szCs w:val="24"/>
        </w:rPr>
      </w:pPr>
      <w:r w:rsidRPr="0089424D">
        <w:rPr>
          <w:rFonts w:ascii="Comic Sans MS" w:hAnsi="Comic Sans MS" w:cs="Courier New"/>
          <w:b/>
          <w:sz w:val="28"/>
          <w:szCs w:val="24"/>
        </w:rPr>
        <w:t>Use to connect two closely related main clauses without a conjunction.</w:t>
      </w:r>
    </w:p>
    <w:p w:rsidR="004A6C99" w:rsidRPr="00812CDF" w:rsidRDefault="004A6C99" w:rsidP="004A6C99">
      <w:pPr>
        <w:jc w:val="left"/>
        <w:rPr>
          <w:rFonts w:ascii="Comic Sans MS" w:hAnsi="Comic Sans MS" w:cs="Courier New"/>
          <w:sz w:val="24"/>
          <w:szCs w:val="24"/>
        </w:rPr>
      </w:pPr>
    </w:p>
    <w:p w:rsidR="004A6C99" w:rsidRPr="00812CDF" w:rsidRDefault="004A6C99" w:rsidP="00E3121C">
      <w:pPr>
        <w:jc w:val="left"/>
        <w:rPr>
          <w:rFonts w:ascii="Comic Sans MS" w:hAnsi="Comic Sans MS" w:cs="Courier New"/>
          <w:i/>
          <w:sz w:val="24"/>
          <w:szCs w:val="24"/>
        </w:rPr>
      </w:pPr>
      <w:r w:rsidRPr="00812CDF">
        <w:rPr>
          <w:rFonts w:ascii="Comic Sans MS" w:hAnsi="Comic Sans MS" w:cs="Courier New"/>
          <w:i/>
          <w:sz w:val="24"/>
          <w:szCs w:val="24"/>
        </w:rPr>
        <w:t>Example: Mary Shelley’s works are entertaining; they are full of engaging ideas.</w:t>
      </w:r>
    </w:p>
    <w:p w:rsidR="00812CDF" w:rsidRDefault="00812CDF" w:rsidP="00812CDF">
      <w:pPr>
        <w:jc w:val="left"/>
        <w:rPr>
          <w:rFonts w:ascii="Comic Sans MS" w:hAnsi="Comic Sans MS" w:cs="Courier New"/>
          <w:sz w:val="24"/>
          <w:szCs w:val="24"/>
        </w:rPr>
      </w:pPr>
    </w:p>
    <w:p w:rsidR="00812CDF" w:rsidRDefault="00812CDF" w:rsidP="00812CDF">
      <w:pPr>
        <w:jc w:val="left"/>
        <w:rPr>
          <w:rFonts w:ascii="Comic Sans MS" w:hAnsi="Comic Sans MS" w:cs="Courier New"/>
          <w:sz w:val="24"/>
          <w:szCs w:val="24"/>
        </w:rPr>
      </w:pPr>
    </w:p>
    <w:p w:rsidR="008F557C" w:rsidRDefault="008F557C" w:rsidP="00812CDF">
      <w:pPr>
        <w:jc w:val="left"/>
        <w:rPr>
          <w:rFonts w:ascii="Comic Sans MS" w:hAnsi="Comic Sans MS" w:cs="Courier New"/>
          <w:sz w:val="24"/>
          <w:szCs w:val="24"/>
        </w:rPr>
      </w:pPr>
    </w:p>
    <w:p w:rsidR="00E3121C" w:rsidRPr="0089424D" w:rsidRDefault="00E3121C" w:rsidP="00812CDF">
      <w:pPr>
        <w:pStyle w:val="ListParagraph"/>
        <w:numPr>
          <w:ilvl w:val="0"/>
          <w:numId w:val="3"/>
        </w:numPr>
        <w:jc w:val="left"/>
        <w:rPr>
          <w:rFonts w:ascii="Comic Sans MS" w:hAnsi="Comic Sans MS" w:cs="Courier New"/>
          <w:b/>
          <w:sz w:val="28"/>
          <w:szCs w:val="24"/>
        </w:rPr>
      </w:pPr>
      <w:r w:rsidRPr="0089424D">
        <w:rPr>
          <w:rFonts w:ascii="Comic Sans MS" w:hAnsi="Comic Sans MS" w:cs="Courier New"/>
          <w:b/>
          <w:sz w:val="28"/>
          <w:szCs w:val="24"/>
        </w:rPr>
        <w:t>Use before conjunctive adverb that connects two main clauses.  Follow conjunctive adverb with a comma.</w:t>
      </w:r>
    </w:p>
    <w:p w:rsidR="00B92FBF" w:rsidRPr="00812CDF" w:rsidRDefault="00B92FBF" w:rsidP="00B92FBF">
      <w:pPr>
        <w:jc w:val="left"/>
        <w:rPr>
          <w:rFonts w:ascii="Comic Sans MS" w:hAnsi="Comic Sans MS" w:cs="Courier New"/>
          <w:i/>
          <w:sz w:val="24"/>
          <w:szCs w:val="24"/>
        </w:rPr>
      </w:pPr>
    </w:p>
    <w:p w:rsidR="00B92FBF" w:rsidRPr="00812CDF" w:rsidRDefault="00B92FBF" w:rsidP="00B92FBF">
      <w:pPr>
        <w:jc w:val="left"/>
        <w:rPr>
          <w:rFonts w:ascii="Comic Sans MS" w:hAnsi="Comic Sans MS" w:cs="Courier New"/>
          <w:sz w:val="24"/>
          <w:szCs w:val="24"/>
        </w:rPr>
      </w:pPr>
      <w:r w:rsidRPr="00812CDF">
        <w:rPr>
          <w:rFonts w:ascii="Comic Sans MS" w:hAnsi="Comic Sans MS" w:cs="Courier New"/>
          <w:i/>
          <w:sz w:val="24"/>
          <w:szCs w:val="24"/>
        </w:rPr>
        <w:t xml:space="preserve">Example: I understand and respect your point of view; </w:t>
      </w:r>
      <w:r w:rsidRPr="00812CDF">
        <w:rPr>
          <w:rFonts w:ascii="Comic Sans MS" w:hAnsi="Comic Sans MS" w:cs="Courier New"/>
          <w:b/>
          <w:i/>
          <w:sz w:val="24"/>
          <w:szCs w:val="24"/>
        </w:rPr>
        <w:t>however</w:t>
      </w:r>
      <w:r w:rsidRPr="00812CDF">
        <w:rPr>
          <w:rFonts w:ascii="Comic Sans MS" w:hAnsi="Comic Sans MS" w:cs="Courier New"/>
          <w:i/>
          <w:sz w:val="24"/>
          <w:szCs w:val="24"/>
        </w:rPr>
        <w:t>, I still disagree.</w:t>
      </w:r>
    </w:p>
    <w:p w:rsidR="00C05C24" w:rsidRDefault="00C05C24" w:rsidP="00B92FBF">
      <w:pPr>
        <w:pStyle w:val="ListParagraph"/>
        <w:jc w:val="left"/>
        <w:rPr>
          <w:rFonts w:ascii="Comic Sans MS" w:hAnsi="Comic Sans MS" w:cs="Courier New"/>
          <w:sz w:val="24"/>
          <w:szCs w:val="24"/>
        </w:rPr>
      </w:pPr>
    </w:p>
    <w:p w:rsidR="008F557C" w:rsidRDefault="008F557C" w:rsidP="00B92FBF">
      <w:pPr>
        <w:pStyle w:val="ListParagraph"/>
        <w:jc w:val="left"/>
        <w:rPr>
          <w:rFonts w:ascii="Comic Sans MS" w:hAnsi="Comic Sans MS" w:cs="Courier New"/>
          <w:sz w:val="24"/>
          <w:szCs w:val="24"/>
        </w:rPr>
      </w:pPr>
    </w:p>
    <w:p w:rsidR="008F557C" w:rsidRPr="00812CDF" w:rsidRDefault="008F557C" w:rsidP="00B92FBF">
      <w:pPr>
        <w:pStyle w:val="ListParagraph"/>
        <w:jc w:val="left"/>
        <w:rPr>
          <w:rFonts w:ascii="Comic Sans MS" w:hAnsi="Comic Sans MS" w:cs="Courier New"/>
          <w:sz w:val="24"/>
          <w:szCs w:val="24"/>
        </w:rPr>
      </w:pPr>
    </w:p>
    <w:p w:rsidR="00E3121C" w:rsidRPr="0089424D" w:rsidRDefault="00E3121C" w:rsidP="00812CDF">
      <w:pPr>
        <w:pStyle w:val="ListParagraph"/>
        <w:numPr>
          <w:ilvl w:val="0"/>
          <w:numId w:val="3"/>
        </w:numPr>
        <w:jc w:val="left"/>
        <w:rPr>
          <w:rFonts w:ascii="Comic Sans MS" w:hAnsi="Comic Sans MS" w:cs="Courier New"/>
          <w:b/>
          <w:sz w:val="28"/>
          <w:szCs w:val="24"/>
        </w:rPr>
      </w:pPr>
      <w:r w:rsidRPr="0089424D">
        <w:rPr>
          <w:rFonts w:ascii="Comic Sans MS" w:hAnsi="Comic Sans MS" w:cs="Courier New"/>
          <w:b/>
          <w:sz w:val="28"/>
          <w:szCs w:val="24"/>
        </w:rPr>
        <w:t>Use before coordinating conjunction that connects the independent clauses in a compound sentence if/when either/both contains commas already.</w:t>
      </w:r>
    </w:p>
    <w:p w:rsidR="00AF2856" w:rsidRPr="00812CDF" w:rsidRDefault="00AF2856" w:rsidP="00BD6FC9">
      <w:pPr>
        <w:pStyle w:val="ListParagraph"/>
        <w:rPr>
          <w:rFonts w:ascii="Comic Sans MS" w:hAnsi="Comic Sans MS" w:cs="Courier New"/>
          <w:sz w:val="24"/>
          <w:szCs w:val="24"/>
        </w:rPr>
      </w:pPr>
    </w:p>
    <w:p w:rsidR="00E3121C" w:rsidRPr="00812CDF" w:rsidRDefault="00B92FBF" w:rsidP="00B92FBF">
      <w:pPr>
        <w:jc w:val="left"/>
        <w:rPr>
          <w:rFonts w:ascii="Comic Sans MS" w:hAnsi="Comic Sans MS" w:cs="Courier New"/>
          <w:i/>
          <w:sz w:val="24"/>
          <w:szCs w:val="24"/>
        </w:rPr>
      </w:pPr>
      <w:r w:rsidRPr="00812CDF">
        <w:rPr>
          <w:rFonts w:ascii="Comic Sans MS" w:hAnsi="Comic Sans MS" w:cs="Courier New"/>
          <w:i/>
          <w:sz w:val="24"/>
          <w:szCs w:val="24"/>
        </w:rPr>
        <w:t xml:space="preserve">Example: </w:t>
      </w:r>
      <w:r w:rsidR="008300E2" w:rsidRPr="00812CDF">
        <w:rPr>
          <w:rFonts w:ascii="Comic Sans MS" w:hAnsi="Comic Sans MS" w:cs="Courier New"/>
          <w:i/>
          <w:sz w:val="24"/>
          <w:szCs w:val="24"/>
        </w:rPr>
        <w:t>It took us hours to read the text, outline the lecture notes, and meet with our study groups; but we are now satisfied that we’re prepared for the exam.</w:t>
      </w:r>
    </w:p>
    <w:p w:rsidR="00C05C24" w:rsidRDefault="00C05C24" w:rsidP="00B92FBF">
      <w:pPr>
        <w:jc w:val="left"/>
        <w:rPr>
          <w:rFonts w:ascii="Comic Sans MS" w:hAnsi="Comic Sans MS" w:cs="Courier New"/>
          <w:sz w:val="24"/>
          <w:szCs w:val="24"/>
        </w:rPr>
      </w:pPr>
    </w:p>
    <w:p w:rsidR="00812CDF" w:rsidRDefault="00812CDF" w:rsidP="00B92FBF">
      <w:pPr>
        <w:jc w:val="left"/>
        <w:rPr>
          <w:rFonts w:ascii="Comic Sans MS" w:hAnsi="Comic Sans MS" w:cs="Courier New"/>
          <w:sz w:val="24"/>
          <w:szCs w:val="24"/>
        </w:rPr>
      </w:pPr>
    </w:p>
    <w:p w:rsidR="008F557C" w:rsidRPr="00812CDF" w:rsidRDefault="008F557C" w:rsidP="00B92FBF">
      <w:pPr>
        <w:jc w:val="left"/>
        <w:rPr>
          <w:rFonts w:ascii="Comic Sans MS" w:hAnsi="Comic Sans MS" w:cs="Courier New"/>
          <w:sz w:val="24"/>
          <w:szCs w:val="24"/>
        </w:rPr>
      </w:pPr>
    </w:p>
    <w:p w:rsidR="00E3121C" w:rsidRPr="0089424D" w:rsidRDefault="00E3121C" w:rsidP="00812CDF">
      <w:pPr>
        <w:pStyle w:val="ListParagraph"/>
        <w:numPr>
          <w:ilvl w:val="0"/>
          <w:numId w:val="3"/>
        </w:numPr>
        <w:jc w:val="left"/>
        <w:rPr>
          <w:rFonts w:ascii="Comic Sans MS" w:hAnsi="Comic Sans MS" w:cs="Courier New"/>
          <w:b/>
          <w:sz w:val="28"/>
          <w:szCs w:val="28"/>
        </w:rPr>
      </w:pPr>
      <w:r w:rsidRPr="0089424D">
        <w:rPr>
          <w:rFonts w:ascii="Comic Sans MS" w:hAnsi="Comic Sans MS" w:cs="Courier New"/>
          <w:b/>
          <w:sz w:val="28"/>
          <w:szCs w:val="28"/>
        </w:rPr>
        <w:t>Use to separate items in a series when each item contains a comma.</w:t>
      </w:r>
    </w:p>
    <w:p w:rsidR="00AF2856" w:rsidRPr="00812CDF" w:rsidRDefault="00AF2856" w:rsidP="005B290F">
      <w:pPr>
        <w:jc w:val="left"/>
        <w:rPr>
          <w:rFonts w:ascii="Comic Sans MS" w:hAnsi="Comic Sans MS" w:cs="Courier New"/>
          <w:sz w:val="24"/>
          <w:szCs w:val="24"/>
        </w:rPr>
      </w:pPr>
    </w:p>
    <w:p w:rsidR="00E3121C" w:rsidRPr="00812CDF" w:rsidRDefault="005B290F" w:rsidP="001C3C82">
      <w:pPr>
        <w:jc w:val="left"/>
        <w:rPr>
          <w:rFonts w:ascii="Comic Sans MS" w:hAnsi="Comic Sans MS" w:cs="Courier New"/>
          <w:sz w:val="24"/>
          <w:szCs w:val="24"/>
        </w:rPr>
      </w:pPr>
      <w:r w:rsidRPr="00812CDF">
        <w:rPr>
          <w:rFonts w:ascii="Comic Sans MS" w:hAnsi="Comic Sans MS" w:cs="Courier New"/>
          <w:i/>
          <w:sz w:val="24"/>
          <w:szCs w:val="24"/>
        </w:rPr>
        <w:t>Example: On my road trip across the country, I visited Albany, New York; Melbourne, Florida; Houston, Texas; and San Diego, California.</w:t>
      </w:r>
    </w:p>
    <w:p w:rsidR="00E3121C" w:rsidRPr="00812CDF" w:rsidRDefault="00E3121C" w:rsidP="00E3121C">
      <w:pPr>
        <w:jc w:val="left"/>
        <w:rPr>
          <w:rFonts w:ascii="Comic Sans MS" w:hAnsi="Comic Sans MS" w:cs="Courier New"/>
          <w:sz w:val="24"/>
          <w:szCs w:val="24"/>
        </w:rPr>
      </w:pPr>
    </w:p>
    <w:p w:rsidR="00812CDF" w:rsidRPr="00812CDF" w:rsidRDefault="00812CDF">
      <w:pPr>
        <w:jc w:val="left"/>
        <w:rPr>
          <w:rFonts w:ascii="Comic Sans MS" w:hAnsi="Comic Sans MS" w:cs="Courier New"/>
          <w:sz w:val="24"/>
          <w:szCs w:val="24"/>
        </w:rPr>
      </w:pPr>
    </w:p>
    <w:sectPr w:rsidR="00812CDF" w:rsidRPr="00812CDF" w:rsidSect="00390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74E0"/>
    <w:multiLevelType w:val="hybridMultilevel"/>
    <w:tmpl w:val="1A9644CC"/>
    <w:lvl w:ilvl="0" w:tplc="535448FA">
      <w:start w:val="1"/>
      <w:numFmt w:val="decimal"/>
      <w:lvlText w:val="%1."/>
      <w:lvlJc w:val="left"/>
      <w:pPr>
        <w:ind w:left="900" w:hanging="540"/>
      </w:pPr>
      <w:rPr>
        <w:rFonts w:hint="default"/>
        <w:b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45064"/>
    <w:multiLevelType w:val="hybridMultilevel"/>
    <w:tmpl w:val="05EA4800"/>
    <w:lvl w:ilvl="0" w:tplc="5CC8E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04698"/>
    <w:multiLevelType w:val="hybridMultilevel"/>
    <w:tmpl w:val="29FE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121C"/>
    <w:rsid w:val="0010002F"/>
    <w:rsid w:val="001C3C82"/>
    <w:rsid w:val="00346AC8"/>
    <w:rsid w:val="003902B4"/>
    <w:rsid w:val="004A6C99"/>
    <w:rsid w:val="005B290F"/>
    <w:rsid w:val="006D71DC"/>
    <w:rsid w:val="00812CDF"/>
    <w:rsid w:val="008300E2"/>
    <w:rsid w:val="0083270F"/>
    <w:rsid w:val="0089424D"/>
    <w:rsid w:val="008A4A07"/>
    <w:rsid w:val="008B480A"/>
    <w:rsid w:val="008F557C"/>
    <w:rsid w:val="00951B22"/>
    <w:rsid w:val="00AF2856"/>
    <w:rsid w:val="00B636D2"/>
    <w:rsid w:val="00B92FBF"/>
    <w:rsid w:val="00BD6FC9"/>
    <w:rsid w:val="00C00FA4"/>
    <w:rsid w:val="00C05C24"/>
    <w:rsid w:val="00D30810"/>
    <w:rsid w:val="00D61ECB"/>
    <w:rsid w:val="00D63196"/>
    <w:rsid w:val="00D709D7"/>
    <w:rsid w:val="00E3121C"/>
    <w:rsid w:val="00E70204"/>
    <w:rsid w:val="00EA49EE"/>
    <w:rsid w:val="00F5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C644"/>
  <w15:docId w15:val="{486A135D-DD64-4899-85F3-67B73A5A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MSSD</dc:creator>
  <cp:keywords/>
  <dc:description/>
  <cp:lastModifiedBy>Markowitz, Lee</cp:lastModifiedBy>
  <cp:revision>17</cp:revision>
  <cp:lastPrinted>2010-11-17T17:41:00Z</cp:lastPrinted>
  <dcterms:created xsi:type="dcterms:W3CDTF">2009-11-18T12:42:00Z</dcterms:created>
  <dcterms:modified xsi:type="dcterms:W3CDTF">2019-11-14T15:33:00Z</dcterms:modified>
</cp:coreProperties>
</file>